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entury Gothic" w:cs="Century Gothic" w:eastAsia="Century Gothic" w:hAnsi="Century Gothic"/>
          <w:b w:val="1"/>
          <w:color w:val="4a86e8"/>
          <w:sz w:val="24"/>
          <w:szCs w:val="24"/>
          <w:highlight w:val="white"/>
        </w:rPr>
      </w:pPr>
      <w:r w:rsidDel="00000000" w:rsidR="00000000" w:rsidRPr="00000000">
        <w:rPr>
          <w:rFonts w:ascii="Century Gothic" w:cs="Century Gothic" w:eastAsia="Century Gothic" w:hAnsi="Century Gothic"/>
          <w:b w:val="1"/>
          <w:color w:val="4a86e8"/>
          <w:sz w:val="24"/>
          <w:szCs w:val="24"/>
          <w:highlight w:val="white"/>
          <w:rtl w:val="0"/>
        </w:rPr>
        <w:t xml:space="preserve">Edenred impulsa la transformación digital de emprendedores y PyMES en un esquema mixto de trabajo</w:t>
      </w:r>
    </w:p>
    <w:p w:rsidR="00000000" w:rsidDel="00000000" w:rsidP="00000000" w:rsidRDefault="00000000" w:rsidRPr="00000000" w14:paraId="00000002">
      <w:pPr>
        <w:widowControl w:val="0"/>
        <w:spacing w:line="240" w:lineRule="auto"/>
        <w:jc w:val="center"/>
        <w:rPr>
          <w:rFonts w:ascii="Century Gothic" w:cs="Century Gothic" w:eastAsia="Century Gothic" w:hAnsi="Century Gothic"/>
          <w:b w:val="1"/>
          <w:color w:val="4a86e8"/>
          <w:sz w:val="20"/>
          <w:szCs w:val="20"/>
          <w:highlight w:val="white"/>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paso hacia la digitalización tecnológica en el mundo ha tomado un ritmo de aceleración sin precedentes. La implementación de herramientas disruptivas para el beneficio de negocios de todos los sectores, giros y tamaños está logrando un desarrollo que le da forma a nuevos modelos de trabajo y de comercio en un ambiente en el que todavía se respira incertidumbre en términos de recuperar lo que la pandemia se ha llevado.</w:t>
      </w:r>
    </w:p>
    <w:p w:rsidR="00000000" w:rsidDel="00000000" w:rsidP="00000000" w:rsidRDefault="00000000" w:rsidRPr="00000000" w14:paraId="0000000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color w:val="1d1c1d"/>
          <w:sz w:val="20"/>
          <w:szCs w:val="20"/>
        </w:rPr>
      </w:pPr>
      <w:r w:rsidDel="00000000" w:rsidR="00000000" w:rsidRPr="00000000">
        <w:rPr>
          <w:rFonts w:ascii="Century Gothic" w:cs="Century Gothic" w:eastAsia="Century Gothic" w:hAnsi="Century Gothic"/>
          <w:sz w:val="20"/>
          <w:szCs w:val="20"/>
          <w:rtl w:val="0"/>
        </w:rPr>
        <w:t xml:space="preserve">Con el confinamiento, los consumidores tuvieron un acercamiento a la tecnología digital que cambió, de manera significativa, la forma de consumirla y utilizarla. En la actualidad, el mundo tiene una conexión nunca vista. Gracias a los dispositivos móviles, hay </w:t>
      </w:r>
      <w:r w:rsidDel="00000000" w:rsidR="00000000" w:rsidRPr="00000000">
        <w:rPr>
          <w:rFonts w:ascii="Century Gothic" w:cs="Century Gothic" w:eastAsia="Century Gothic" w:hAnsi="Century Gothic"/>
          <w:color w:val="1d1c1d"/>
          <w:sz w:val="20"/>
          <w:szCs w:val="20"/>
          <w:rtl w:val="0"/>
        </w:rPr>
        <w:t xml:space="preserve">5 mil millones de personas con teléfono celular en todo el mundo y, si nos referimos a las transacciones electrónicas, en 2020 se registró un aumento </w:t>
      </w:r>
      <w:r w:rsidDel="00000000" w:rsidR="00000000" w:rsidRPr="00000000">
        <w:rPr>
          <w:rFonts w:ascii="Century Gothic" w:cs="Century Gothic" w:eastAsia="Century Gothic" w:hAnsi="Century Gothic"/>
          <w:color w:val="222222"/>
          <w:sz w:val="20"/>
          <w:szCs w:val="20"/>
          <w:highlight w:val="white"/>
          <w:rtl w:val="0"/>
        </w:rPr>
        <w:t xml:space="preserve">del 32% en pagos móviles. Estas cifras</w:t>
      </w:r>
      <w:r w:rsidDel="00000000" w:rsidR="00000000" w:rsidRPr="00000000">
        <w:rPr>
          <w:rFonts w:ascii="Century Gothic" w:cs="Century Gothic" w:eastAsia="Century Gothic" w:hAnsi="Century Gothic"/>
          <w:color w:val="1d1c1d"/>
          <w:sz w:val="20"/>
          <w:szCs w:val="20"/>
          <w:rtl w:val="0"/>
        </w:rPr>
        <w:t xml:space="preserve">, sin lugar a duda, tienen y tendrán un impacto significativo en cómo se van a gestionar las transacciones empresariales.</w:t>
      </w:r>
    </w:p>
    <w:p w:rsidR="00000000" w:rsidDel="00000000" w:rsidP="00000000" w:rsidRDefault="00000000" w:rsidRPr="00000000" w14:paraId="00000006">
      <w:pPr>
        <w:spacing w:line="240" w:lineRule="auto"/>
        <w:jc w:val="both"/>
        <w:rPr>
          <w:rFonts w:ascii="Century Gothic" w:cs="Century Gothic" w:eastAsia="Century Gothic" w:hAnsi="Century Gothic"/>
          <w:color w:val="1d1c1d"/>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color w:val="1d1c1d"/>
          <w:sz w:val="20"/>
          <w:szCs w:val="20"/>
        </w:rPr>
      </w:pPr>
      <w:r w:rsidDel="00000000" w:rsidR="00000000" w:rsidRPr="00000000">
        <w:rPr>
          <w:rFonts w:ascii="Century Gothic" w:cs="Century Gothic" w:eastAsia="Century Gothic" w:hAnsi="Century Gothic"/>
          <w:color w:val="1d1c1d"/>
          <w:sz w:val="20"/>
          <w:szCs w:val="20"/>
          <w:rtl w:val="0"/>
        </w:rPr>
        <w:t xml:space="preserve">De acuerdo con el Reporte Integrado Edenred, el año pasado, más de la mitad (55%) de las interacciones corporativas con los clientes se hicieron de manera digital, esto es un avance de casi un 20% frente al 36% que se registró en 2019. Esto nos dice que la adopción de herramientas integrales dedicadas a resolver las necesidades de muchas empresas y facilitar la vida de sus trabajadores es una de las tendencias principales dentro de esta nueva era.</w:t>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cuestión laboral, ha quedado demostrada la efectividad del teletrabajo y los esquemas híbridos para la productividad y el aprovechamiento del tiempo, convirtiéndose en la nueva norma y hasta requisito para muchos empleos, tal es así, que las proyecciones internacionales sugieren que cerca del </w:t>
      </w:r>
      <w:r w:rsidDel="00000000" w:rsidR="00000000" w:rsidRPr="00000000">
        <w:rPr>
          <w:rFonts w:ascii="Century Gothic" w:cs="Century Gothic" w:eastAsia="Century Gothic" w:hAnsi="Century Gothic"/>
          <w:color w:val="222222"/>
          <w:sz w:val="20"/>
          <w:szCs w:val="20"/>
          <w:highlight w:val="white"/>
          <w:rtl w:val="0"/>
        </w:rPr>
        <w:t xml:space="preserve">20% de los trabajos podrían realizarse remotamente al menos tres días a la semana, y en países como </w:t>
      </w:r>
      <w:r w:rsidDel="00000000" w:rsidR="00000000" w:rsidRPr="00000000">
        <w:rPr>
          <w:rFonts w:ascii="Century Gothic" w:cs="Century Gothic" w:eastAsia="Century Gothic" w:hAnsi="Century Gothic"/>
          <w:sz w:val="20"/>
          <w:szCs w:val="20"/>
          <w:rtl w:val="0"/>
        </w:rPr>
        <w:t xml:space="preserve">el Reino Unido, el 37% de los empleadores esperan que su personal siga laborando parcialmente desde casa una vez que la situación con el COVID haya disminuido, en comparación con el 18% anterior. En México, de acuerdo con Edenred, al menos 7 de cada 10 empresas (es decir, el 70%) buscarán quedarse en la modalidad mixta una vez que la pandemia haya disminuido.</w:t>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Ante el surgimiento del modelo combinado entre el trabajo remoto y presencial, cuya tendencia ha sido más notable en economías desarrolladas y en el sector de los servicios, </w:t>
      </w:r>
      <w:r w:rsidDel="00000000" w:rsidR="00000000" w:rsidRPr="00000000">
        <w:rPr>
          <w:rFonts w:ascii="Century Gothic" w:cs="Century Gothic" w:eastAsia="Century Gothic" w:hAnsi="Century Gothic"/>
          <w:b w:val="1"/>
          <w:sz w:val="20"/>
          <w:szCs w:val="20"/>
          <w:rtl w:val="0"/>
        </w:rPr>
        <w:t xml:space="preserve">crece la necesidad cada vez más latente por digitalizar y simplificar muchos de los procesos</w:t>
      </w:r>
      <w:r w:rsidDel="00000000" w:rsidR="00000000" w:rsidRPr="00000000">
        <w:rPr>
          <w:rFonts w:ascii="Century Gothic" w:cs="Century Gothic" w:eastAsia="Century Gothic" w:hAnsi="Century Gothic"/>
          <w:sz w:val="20"/>
          <w:szCs w:val="20"/>
          <w:rtl w:val="0"/>
        </w:rPr>
        <w:t xml:space="preserve"> que antes requerían un mayor espacio y consumo de recursos físicos como el papel y la tinta, logrando beneficios como menores costos, reducción de tiempos y hasta la generación de acciones en pro de la sostenibilidad. En términos de ahorro por implementación de trabajo remoto, Edenred registra un estimado de aproximadamente 25%, demostrando la efectividad y relevancia de digitalizar una empresa en estos tiempos.  </w:t>
      </w:r>
    </w:p>
    <w:p w:rsidR="00000000" w:rsidDel="00000000" w:rsidP="00000000" w:rsidRDefault="00000000" w:rsidRPr="00000000" w14:paraId="0000000C">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highlight w:val="white"/>
          <w:rtl w:val="0"/>
        </w:rPr>
        <w:t xml:space="preserve">"La digitalización de las empresas es un concepto que debemos de tener presentes y adoptar tan pronto sea posible. Existe la percepción errónea de que dicho proceso es costoso, sin embargo, con una correcta implementación de soluciones para el control de recursos, podemos encontrar ahorros de hasta 80% en tiempo y dinero sin necesidad de desarrollar la tecnología ni realizar grandes inversiones."</w:t>
      </w: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i w:val="1"/>
          <w:sz w:val="20"/>
          <w:szCs w:val="20"/>
          <w:rtl w:val="0"/>
        </w:rPr>
        <w:t xml:space="preserve">Esto es fundamental para el crecimiento de cualquier empresa en términos de seguridad, ya que sabemos que, en los últimos dos años, el </w:t>
      </w:r>
      <w:r w:rsidDel="00000000" w:rsidR="00000000" w:rsidRPr="00000000">
        <w:rPr>
          <w:rFonts w:ascii="Century Gothic" w:cs="Century Gothic" w:eastAsia="Century Gothic" w:hAnsi="Century Gothic"/>
          <w:i w:val="1"/>
          <w:sz w:val="20"/>
          <w:szCs w:val="20"/>
          <w:highlight w:val="white"/>
          <w:rtl w:val="0"/>
        </w:rPr>
        <w:t xml:space="preserve">47% de las empresas en el mundo han tenido problemas de fraude, entonces, con una plataforma segura que genera códigos para transacciones en línea, las compras y su administración están completamente encriptadas y aseguradas, evitando el impacto a la ciberseguridad”, </w:t>
      </w:r>
      <w:r w:rsidDel="00000000" w:rsidR="00000000" w:rsidRPr="00000000">
        <w:rPr>
          <w:rFonts w:ascii="Century Gothic" w:cs="Century Gothic" w:eastAsia="Century Gothic" w:hAnsi="Century Gothic"/>
          <w:sz w:val="20"/>
          <w:szCs w:val="20"/>
          <w:highlight w:val="white"/>
          <w:rtl w:val="0"/>
        </w:rPr>
        <w:t xml:space="preserve">apuntó Santiago Gómez, Director de Empresarial Edenred.</w:t>
      </w:r>
    </w:p>
    <w:p w:rsidR="00000000" w:rsidDel="00000000" w:rsidP="00000000" w:rsidRDefault="00000000" w:rsidRPr="00000000" w14:paraId="00000010">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En un modelo híbrido de trabajo, poder contar con éstas ventajas digitales son beneficios que están siendo cada día más apreciados por empleadores y trabajadores.</w:t>
      </w: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rtl w:val="0"/>
        </w:rPr>
        <w:t xml:space="preserve">La crisis sanitaria ha adelantado la transformación tecnológica y, al mismo tiempo, ha destacado el papel que las soluciones virtuales pueden desempeñar. El mito de que la digitalización es costosa o que es para unas cuantas grandes empresas está cayendo y cada vez más podemos ver a pequeños y medianos emprendedores facilitar la vida de sus empleados durante esta etapa de modelos híbridos de trabajo.</w:t>
      </w: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5">
      <w:pPr>
        <w:spacing w:after="160" w:line="240" w:lineRule="auto"/>
        <w:rPr>
          <w:rFonts w:ascii="Century Gothic" w:cs="Century Gothic" w:eastAsia="Century Gothic" w:hAnsi="Century Gothic"/>
          <w:color w:val="002060"/>
          <w:sz w:val="16"/>
          <w:szCs w:val="16"/>
        </w:rPr>
      </w:pPr>
      <w:r w:rsidDel="00000000" w:rsidR="00000000" w:rsidRPr="00000000">
        <w:rPr>
          <w:rFonts w:ascii="Century Gothic" w:cs="Century Gothic" w:eastAsia="Century Gothic" w:hAnsi="Century Gothic"/>
          <w:color w:val="002060"/>
          <w:sz w:val="16"/>
          <w:szCs w:val="16"/>
          <w:rtl w:val="0"/>
        </w:rPr>
        <w:t xml:space="preserve">▬▬</w:t>
      </w:r>
    </w:p>
    <w:p w:rsidR="00000000" w:rsidDel="00000000" w:rsidP="00000000" w:rsidRDefault="00000000" w:rsidRPr="00000000" w14:paraId="00000016">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Edenred </w:t>
      </w:r>
      <w:r w:rsidDel="00000000" w:rsidR="00000000" w:rsidRPr="00000000">
        <w:rPr>
          <w:rFonts w:ascii="Century Gothic" w:cs="Century Gothic" w:eastAsia="Century Gothic" w:hAnsi="Century Gothic"/>
          <w:color w:val="162056"/>
          <w:sz w:val="16"/>
          <w:szCs w:val="16"/>
          <w:rtl w:val="0"/>
        </w:rPr>
        <w:t xml:space="preserve">es la plataforma líder en servicios y pagos, así como el compañero diario de los trabajadores, conectando a más de 50 millones de empleados y 2 millones de comercios asociados en 46 países a través de más de 850,000 clientes corporativos.</w:t>
      </w:r>
    </w:p>
    <w:p w:rsidR="00000000" w:rsidDel="00000000" w:rsidP="00000000" w:rsidRDefault="00000000" w:rsidRPr="00000000" w14:paraId="00000017">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8">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Edenred ofrece soluciones de pago con fines específicos para </w:t>
      </w:r>
      <w:r w:rsidDel="00000000" w:rsidR="00000000" w:rsidRPr="00000000">
        <w:rPr>
          <w:rFonts w:ascii="Century Gothic" w:cs="Century Gothic" w:eastAsia="Century Gothic" w:hAnsi="Century Gothic"/>
          <w:b w:val="1"/>
          <w:color w:val="162056"/>
          <w:sz w:val="16"/>
          <w:szCs w:val="16"/>
          <w:rtl w:val="0"/>
        </w:rPr>
        <w:t xml:space="preserve">la alimentación</w:t>
      </w:r>
      <w:r w:rsidDel="00000000" w:rsidR="00000000" w:rsidRPr="00000000">
        <w:rPr>
          <w:rFonts w:ascii="Century Gothic" w:cs="Century Gothic" w:eastAsia="Century Gothic" w:hAnsi="Century Gothic"/>
          <w:color w:val="162056"/>
          <w:sz w:val="16"/>
          <w:szCs w:val="16"/>
          <w:rtl w:val="0"/>
        </w:rPr>
        <w:t xml:space="preserve"> (como vales de despensa y restaurante), </w:t>
      </w:r>
      <w:r w:rsidDel="00000000" w:rsidR="00000000" w:rsidRPr="00000000">
        <w:rPr>
          <w:rFonts w:ascii="Century Gothic" w:cs="Century Gothic" w:eastAsia="Century Gothic" w:hAnsi="Century Gothic"/>
          <w:b w:val="1"/>
          <w:color w:val="162056"/>
          <w:sz w:val="16"/>
          <w:szCs w:val="16"/>
          <w:rtl w:val="0"/>
        </w:rPr>
        <w:t xml:space="preserve">la</w:t>
      </w:r>
      <w:r w:rsidDel="00000000" w:rsidR="00000000" w:rsidRPr="00000000">
        <w:rPr>
          <w:rFonts w:ascii="Century Gothic" w:cs="Century Gothic" w:eastAsia="Century Gothic" w:hAnsi="Century Gothic"/>
          <w:color w:val="162056"/>
          <w:sz w:val="16"/>
          <w:szCs w:val="16"/>
          <w:rtl w:val="0"/>
        </w:rPr>
        <w:t xml:space="preserve"> </w:t>
      </w:r>
      <w:r w:rsidDel="00000000" w:rsidR="00000000" w:rsidRPr="00000000">
        <w:rPr>
          <w:rFonts w:ascii="Century Gothic" w:cs="Century Gothic" w:eastAsia="Century Gothic" w:hAnsi="Century Gothic"/>
          <w:b w:val="1"/>
          <w:color w:val="162056"/>
          <w:sz w:val="16"/>
          <w:szCs w:val="16"/>
          <w:rtl w:val="0"/>
        </w:rPr>
        <w:t xml:space="preserve"> movilidad</w:t>
      </w:r>
      <w:r w:rsidDel="00000000" w:rsidR="00000000" w:rsidRPr="00000000">
        <w:rPr>
          <w:rFonts w:ascii="Century Gothic" w:cs="Century Gothic" w:eastAsia="Century Gothic" w:hAnsi="Century Gothic"/>
          <w:color w:val="162056"/>
          <w:sz w:val="16"/>
          <w:szCs w:val="16"/>
          <w:rtl w:val="0"/>
        </w:rPr>
        <w:t xml:space="preserve"> (como tarjetas de combustible, mantenimiento y peaje), </w:t>
      </w:r>
      <w:r w:rsidDel="00000000" w:rsidR="00000000" w:rsidRPr="00000000">
        <w:rPr>
          <w:rFonts w:ascii="Century Gothic" w:cs="Century Gothic" w:eastAsia="Century Gothic" w:hAnsi="Century Gothic"/>
          <w:b w:val="1"/>
          <w:color w:val="162056"/>
          <w:sz w:val="16"/>
          <w:szCs w:val="16"/>
          <w:rtl w:val="0"/>
        </w:rPr>
        <w:t xml:space="preserve">los incentivos</w:t>
      </w:r>
      <w:r w:rsidDel="00000000" w:rsidR="00000000" w:rsidRPr="00000000">
        <w:rPr>
          <w:rFonts w:ascii="Century Gothic" w:cs="Century Gothic" w:eastAsia="Century Gothic" w:hAnsi="Century Gothic"/>
          <w:color w:val="162056"/>
          <w:sz w:val="16"/>
          <w:szCs w:val="16"/>
          <w:rtl w:val="0"/>
        </w:rPr>
        <w:t xml:space="preserve"> (como tarjetas de regalo) </w:t>
      </w:r>
      <w:r w:rsidDel="00000000" w:rsidR="00000000" w:rsidRPr="00000000">
        <w:rPr>
          <w:rFonts w:ascii="Century Gothic" w:cs="Century Gothic" w:eastAsia="Century Gothic" w:hAnsi="Century Gothic"/>
          <w:b w:val="1"/>
          <w:color w:val="162056"/>
          <w:sz w:val="16"/>
          <w:szCs w:val="16"/>
          <w:rtl w:val="0"/>
        </w:rPr>
        <w:t xml:space="preserve">y los gastos corporativos</w:t>
      </w:r>
      <w:r w:rsidDel="00000000" w:rsidR="00000000" w:rsidRPr="00000000">
        <w:rPr>
          <w:rFonts w:ascii="Century Gothic" w:cs="Century Gothic" w:eastAsia="Century Gothic" w:hAnsi="Century Gothic"/>
          <w:color w:val="162056"/>
          <w:sz w:val="16"/>
          <w:szCs w:val="16"/>
          <w:rtl w:val="0"/>
        </w:rPr>
        <w:t xml:space="preserve">. </w:t>
      </w:r>
    </w:p>
    <w:p w:rsidR="00000000" w:rsidDel="00000000" w:rsidP="00000000" w:rsidRDefault="00000000" w:rsidRPr="00000000" w14:paraId="00000019">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Fieles al propósito del Grupo: “Enrich Connections. For Good.” estas soluciones mejoran el poder adquisitivo y el bienestar de los trabajadores, mejoran el atractivo y la eficiencia de las empresas, revitalizando el mercado laboral y la economía local.</w:t>
      </w:r>
      <w:r w:rsidDel="00000000" w:rsidR="00000000" w:rsidRPr="00000000">
        <w:rPr>
          <w:rFonts w:ascii="Calibri" w:cs="Calibri" w:eastAsia="Calibri" w:hAnsi="Calibri"/>
          <w:sz w:val="16"/>
          <w:szCs w:val="16"/>
          <w:rtl w:val="0"/>
        </w:rPr>
        <w:t xml:space="preserve"> </w:t>
      </w:r>
      <w:r w:rsidDel="00000000" w:rsidR="00000000" w:rsidRPr="00000000">
        <w:rPr>
          <w:rFonts w:ascii="Century Gothic" w:cs="Century Gothic" w:eastAsia="Century Gothic" w:hAnsi="Century Gothic"/>
          <w:color w:val="162056"/>
          <w:sz w:val="16"/>
          <w:szCs w:val="16"/>
          <w:rtl w:val="0"/>
        </w:rPr>
        <w:t xml:space="preserve">También fomentan el acceso a una alimentación más sana, a productos más ecológicos y a una movilidad más sencilla.</w:t>
      </w:r>
    </w:p>
    <w:p w:rsidR="00000000" w:rsidDel="00000000" w:rsidP="00000000" w:rsidRDefault="00000000" w:rsidRPr="00000000" w14:paraId="0000001B">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C">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Los 10,000 empleados de Edenred están comprometidos para hacer del mundo un ecosistema conectado que sea más seguro, eficiente y responsable cada día.</w:t>
      </w:r>
    </w:p>
    <w:p w:rsidR="00000000" w:rsidDel="00000000" w:rsidP="00000000" w:rsidRDefault="00000000" w:rsidRPr="00000000" w14:paraId="0000001D">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1E">
      <w:pPr>
        <w:shd w:fill="ffffff" w:val="clear"/>
        <w:spacing w:line="240" w:lineRule="auto"/>
        <w:jc w:val="both"/>
        <w:rPr>
          <w:rFonts w:ascii="Century Gothic" w:cs="Century Gothic" w:eastAsia="Century Gothic" w:hAnsi="Century Gothic"/>
          <w:color w:val="162056"/>
          <w:sz w:val="16"/>
          <w:szCs w:val="16"/>
        </w:rPr>
      </w:pPr>
      <w:bookmarkStart w:colFirst="0" w:colLast="0" w:name="_gjdgxs" w:id="0"/>
      <w:bookmarkEnd w:id="0"/>
      <w:r w:rsidDel="00000000" w:rsidR="00000000" w:rsidRPr="00000000">
        <w:rPr>
          <w:rFonts w:ascii="Century Gothic" w:cs="Century Gothic" w:eastAsia="Century Gothic" w:hAnsi="Century Gothic"/>
          <w:color w:val="162056"/>
          <w:sz w:val="16"/>
          <w:szCs w:val="16"/>
          <w:rtl w:val="0"/>
        </w:rPr>
        <w:t xml:space="preserve">En 2020, gracias a sus activos tecnológicos globales, el Grupo Edenred gestionó cerca de €30 mil millones de volumen de negocio, principalmente a través de aplicaciones móviles, plataformas online y tarjetas.</w:t>
      </w:r>
    </w:p>
    <w:p w:rsidR="00000000" w:rsidDel="00000000" w:rsidP="00000000" w:rsidRDefault="00000000" w:rsidRPr="00000000" w14:paraId="0000001F">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20">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Edenred cotiza en la bolsa de valores Euronext de París y está incluida en los siguientes índices: CAC Next 20, FTSE4Good, DJSI Europe y MSCI Europe.</w:t>
      </w:r>
    </w:p>
    <w:p w:rsidR="00000000" w:rsidDel="00000000" w:rsidP="00000000" w:rsidRDefault="00000000" w:rsidRPr="00000000" w14:paraId="00000021">
      <w:pPr>
        <w:shd w:fill="ffffff" w:val="clear"/>
        <w:spacing w:line="240" w:lineRule="auto"/>
        <w:jc w:val="both"/>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22">
      <w:pPr>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3">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p>
    <w:p w:rsidR="00000000" w:rsidDel="00000000" w:rsidP="00000000" w:rsidRDefault="00000000" w:rsidRPr="00000000" w14:paraId="00000024">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25">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26">
      <w:pPr>
        <w:spacing w:line="240" w:lineRule="auto"/>
        <w:jc w:val="both"/>
        <w:rPr>
          <w:rFonts w:ascii="Century Gothic" w:cs="Century Gothic" w:eastAsia="Century Gothic" w:hAnsi="Century Gothic"/>
          <w:color w:val="002060"/>
          <w:sz w:val="16"/>
          <w:szCs w:val="16"/>
        </w:rPr>
      </w:pPr>
      <w:r w:rsidDel="00000000" w:rsidR="00000000" w:rsidRPr="00000000">
        <w:rPr>
          <w:rFonts w:ascii="Century Gothic" w:cs="Century Gothic" w:eastAsia="Century Gothic" w:hAnsi="Century Gothic"/>
          <w:color w:val="002060"/>
          <w:sz w:val="16"/>
          <w:szCs w:val="16"/>
          <w:rtl w:val="0"/>
        </w:rPr>
        <w:t xml:space="preserve">▬▬</w:t>
      </w:r>
    </w:p>
    <w:p w:rsidR="00000000" w:rsidDel="00000000" w:rsidP="00000000" w:rsidRDefault="00000000" w:rsidRPr="00000000" w14:paraId="00000027">
      <w:pPr>
        <w:spacing w:line="240" w:lineRule="auto"/>
        <w:jc w:val="both"/>
        <w:rPr>
          <w:rFonts w:ascii="Century Gothic" w:cs="Century Gothic" w:eastAsia="Century Gothic" w:hAnsi="Century Gothic"/>
          <w:color w:val="002060"/>
          <w:sz w:val="16"/>
          <w:szCs w:val="16"/>
        </w:rPr>
      </w:pPr>
      <w:r w:rsidDel="00000000" w:rsidR="00000000" w:rsidRPr="00000000">
        <w:rPr>
          <w:rtl w:val="0"/>
        </w:rPr>
      </w:r>
    </w:p>
    <w:p w:rsidR="00000000" w:rsidDel="00000000" w:rsidP="00000000" w:rsidRDefault="00000000" w:rsidRPr="00000000" w14:paraId="00000028">
      <w:pPr>
        <w:spacing w:line="240" w:lineRule="auto"/>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CONTACTOS</w:t>
      </w:r>
    </w:p>
    <w:p w:rsidR="00000000" w:rsidDel="00000000" w:rsidP="00000000" w:rsidRDefault="00000000" w:rsidRPr="00000000" w14:paraId="00000029">
      <w:pPr>
        <w:spacing w:line="240" w:lineRule="auto"/>
        <w:rPr>
          <w:rFonts w:ascii="Century Gothic" w:cs="Century Gothic" w:eastAsia="Century Gothic" w:hAnsi="Century Gothic"/>
          <w:b w:val="1"/>
          <w:color w:val="162056"/>
          <w:sz w:val="16"/>
          <w:szCs w:val="16"/>
        </w:rPr>
      </w:pPr>
      <w:r w:rsidDel="00000000" w:rsidR="00000000" w:rsidRPr="00000000">
        <w:rPr>
          <w:rtl w:val="0"/>
        </w:rPr>
      </w:r>
    </w:p>
    <w:tbl>
      <w:tblPr>
        <w:tblStyle w:val="Table1"/>
        <w:tblW w:w="90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c>
          <w:tcPr/>
          <w:p w:rsidR="00000000" w:rsidDel="00000000" w:rsidP="00000000" w:rsidRDefault="00000000" w:rsidRPr="00000000" w14:paraId="0000002A">
            <w:pPr>
              <w:spacing w:line="240" w:lineRule="auto"/>
              <w:rPr>
                <w:rFonts w:ascii="Century Gothic" w:cs="Century Gothic" w:eastAsia="Century Gothic" w:hAnsi="Century Gothic"/>
                <w:b w:val="1"/>
                <w:color w:val="11204c"/>
                <w:sz w:val="16"/>
                <w:szCs w:val="16"/>
              </w:rPr>
            </w:pPr>
            <w:r w:rsidDel="00000000" w:rsidR="00000000" w:rsidRPr="00000000">
              <w:rPr>
                <w:rFonts w:ascii="Century Gothic" w:cs="Century Gothic" w:eastAsia="Century Gothic" w:hAnsi="Century Gothic"/>
                <w:b w:val="1"/>
                <w:color w:val="11204c"/>
                <w:sz w:val="16"/>
                <w:szCs w:val="16"/>
                <w:rtl w:val="0"/>
              </w:rPr>
              <w:t xml:space="preserve">Director de Estrategia &amp; Marketing</w:t>
            </w:r>
          </w:p>
          <w:p w:rsidR="00000000" w:rsidDel="00000000" w:rsidP="00000000" w:rsidRDefault="00000000" w:rsidRPr="00000000" w14:paraId="0000002B">
            <w:pPr>
              <w:spacing w:line="240"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Santiago Gómez</w:t>
            </w:r>
          </w:p>
          <w:p w:rsidR="00000000" w:rsidDel="00000000" w:rsidP="00000000" w:rsidRDefault="00000000" w:rsidRPr="00000000" w14:paraId="0000002C">
            <w:pPr>
              <w:spacing w:line="240"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3339 1481</w:t>
            </w:r>
          </w:p>
          <w:p w:rsidR="00000000" w:rsidDel="00000000" w:rsidP="00000000" w:rsidRDefault="00000000" w:rsidRPr="00000000" w14:paraId="0000002D">
            <w:pPr>
              <w:spacing w:line="240" w:lineRule="auto"/>
              <w:rPr>
                <w:rFonts w:ascii="Century Gothic" w:cs="Century Gothic" w:eastAsia="Century Gothic" w:hAnsi="Century Gothic"/>
                <w:color w:val="162056"/>
                <w:sz w:val="16"/>
                <w:szCs w:val="16"/>
              </w:rPr>
            </w:pPr>
            <w:hyperlink r:id="rId6">
              <w:r w:rsidDel="00000000" w:rsidR="00000000" w:rsidRPr="00000000">
                <w:rPr>
                  <w:rFonts w:ascii="Century Gothic" w:cs="Century Gothic" w:eastAsia="Century Gothic" w:hAnsi="Century Gothic"/>
                  <w:color w:val="0563c1"/>
                  <w:sz w:val="16"/>
                  <w:szCs w:val="16"/>
                  <w:u w:val="single"/>
                  <w:rtl w:val="0"/>
                </w:rPr>
                <w:t xml:space="preserve">santiago.gomez@edenred.com</w:t>
              </w:r>
            </w:hyperlink>
            <w:r w:rsidDel="00000000" w:rsidR="00000000" w:rsidRPr="00000000">
              <w:rPr>
                <w:rFonts w:ascii="Century Gothic" w:cs="Century Gothic" w:eastAsia="Century Gothic" w:hAnsi="Century Gothic"/>
                <w:color w:val="162056"/>
                <w:sz w:val="16"/>
                <w:szCs w:val="16"/>
                <w:rtl w:val="0"/>
              </w:rPr>
              <w:t xml:space="preserve"> </w:t>
            </w:r>
          </w:p>
        </w:tc>
        <w:tc>
          <w:tcPr/>
          <w:p w:rsidR="00000000" w:rsidDel="00000000" w:rsidP="00000000" w:rsidRDefault="00000000" w:rsidRPr="00000000" w14:paraId="0000002E">
            <w:pPr>
              <w:spacing w:line="240" w:lineRule="auto"/>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Marketing Communication &amp; PR Manager</w:t>
            </w:r>
          </w:p>
          <w:p w:rsidR="00000000" w:rsidDel="00000000" w:rsidP="00000000" w:rsidRDefault="00000000" w:rsidRPr="00000000" w14:paraId="0000002F">
            <w:pPr>
              <w:spacing w:line="240"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Victoria Balboa</w:t>
            </w:r>
          </w:p>
          <w:p w:rsidR="00000000" w:rsidDel="00000000" w:rsidP="00000000" w:rsidRDefault="00000000" w:rsidRPr="00000000" w14:paraId="00000030">
            <w:pPr>
              <w:spacing w:line="240"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3555 8287</w:t>
            </w:r>
          </w:p>
          <w:p w:rsidR="00000000" w:rsidDel="00000000" w:rsidP="00000000" w:rsidRDefault="00000000" w:rsidRPr="00000000" w14:paraId="00000031">
            <w:pPr>
              <w:spacing w:line="240" w:lineRule="auto"/>
              <w:rPr>
                <w:rFonts w:ascii="Century Gothic" w:cs="Century Gothic" w:eastAsia="Century Gothic" w:hAnsi="Century Gothic"/>
                <w:color w:val="162056"/>
                <w:sz w:val="16"/>
                <w:szCs w:val="16"/>
              </w:rPr>
            </w:pPr>
            <w:hyperlink r:id="rId7">
              <w:r w:rsidDel="00000000" w:rsidR="00000000" w:rsidRPr="00000000">
                <w:rPr>
                  <w:rFonts w:ascii="Century Gothic" w:cs="Century Gothic" w:eastAsia="Century Gothic" w:hAnsi="Century Gothic"/>
                  <w:color w:val="0563c1"/>
                  <w:sz w:val="16"/>
                  <w:szCs w:val="16"/>
                  <w:u w:val="single"/>
                  <w:rtl w:val="0"/>
                </w:rPr>
                <w:t xml:space="preserve">victoria.balboa@edenred.com</w:t>
              </w:r>
            </w:hyperlink>
            <w:r w:rsidDel="00000000" w:rsidR="00000000" w:rsidRPr="00000000">
              <w:rPr>
                <w:rtl w:val="0"/>
              </w:rPr>
            </w:r>
          </w:p>
        </w:tc>
      </w:tr>
      <w:tr>
        <w:tc>
          <w:tcPr/>
          <w:p w:rsidR="00000000" w:rsidDel="00000000" w:rsidP="00000000" w:rsidRDefault="00000000" w:rsidRPr="00000000" w14:paraId="00000032">
            <w:pPr>
              <w:spacing w:line="240" w:lineRule="auto"/>
              <w:rPr>
                <w:rFonts w:ascii="Century Gothic" w:cs="Century Gothic" w:eastAsia="Century Gothic" w:hAnsi="Century Gothic"/>
                <w:b w:val="1"/>
                <w:color w:val="11204c"/>
                <w:sz w:val="16"/>
                <w:szCs w:val="16"/>
              </w:rPr>
            </w:pPr>
            <w:r w:rsidDel="00000000" w:rsidR="00000000" w:rsidRPr="00000000">
              <w:rPr>
                <w:rtl w:val="0"/>
              </w:rPr>
            </w:r>
          </w:p>
          <w:p w:rsidR="00000000" w:rsidDel="00000000" w:rsidP="00000000" w:rsidRDefault="00000000" w:rsidRPr="00000000" w14:paraId="00000033">
            <w:pPr>
              <w:spacing w:line="240" w:lineRule="auto"/>
              <w:rPr>
                <w:rFonts w:ascii="Century Gothic" w:cs="Century Gothic" w:eastAsia="Century Gothic" w:hAnsi="Century Gothic"/>
                <w:b w:val="1"/>
                <w:color w:val="11204c"/>
                <w:sz w:val="16"/>
                <w:szCs w:val="16"/>
              </w:rPr>
            </w:pPr>
            <w:r w:rsidDel="00000000" w:rsidR="00000000" w:rsidRPr="00000000">
              <w:rPr>
                <w:rFonts w:ascii="Century Gothic" w:cs="Century Gothic" w:eastAsia="Century Gothic" w:hAnsi="Century Gothic"/>
                <w:b w:val="1"/>
                <w:color w:val="11204c"/>
                <w:sz w:val="16"/>
                <w:szCs w:val="16"/>
                <w:rtl w:val="0"/>
              </w:rPr>
              <w:t xml:space="preserve">Relaciones con prensa: Another </w:t>
            </w:r>
          </w:p>
          <w:p w:rsidR="00000000" w:rsidDel="00000000" w:rsidP="00000000" w:rsidRDefault="00000000" w:rsidRPr="00000000" w14:paraId="00000034">
            <w:pPr>
              <w:spacing w:line="240" w:lineRule="auto"/>
              <w:rPr>
                <w:rFonts w:ascii="Century Gothic" w:cs="Century Gothic" w:eastAsia="Century Gothic" w:hAnsi="Century Gothic"/>
                <w:color w:val="11204c"/>
                <w:sz w:val="16"/>
                <w:szCs w:val="16"/>
              </w:rPr>
            </w:pPr>
            <w:r w:rsidDel="00000000" w:rsidR="00000000" w:rsidRPr="00000000">
              <w:rPr>
                <w:rFonts w:ascii="Century Gothic" w:cs="Century Gothic" w:eastAsia="Century Gothic" w:hAnsi="Century Gothic"/>
                <w:color w:val="11204c"/>
                <w:sz w:val="16"/>
                <w:szCs w:val="16"/>
                <w:rtl w:val="0"/>
              </w:rPr>
              <w:t xml:space="preserve">Emmanuel Zaragoza</w:t>
            </w:r>
          </w:p>
          <w:p w:rsidR="00000000" w:rsidDel="00000000" w:rsidP="00000000" w:rsidRDefault="00000000" w:rsidRPr="00000000" w14:paraId="00000035">
            <w:pPr>
              <w:spacing w:line="240" w:lineRule="auto"/>
              <w:rPr>
                <w:rFonts w:ascii="Century Gothic" w:cs="Century Gothic" w:eastAsia="Century Gothic" w:hAnsi="Century Gothic"/>
                <w:color w:val="11204c"/>
                <w:sz w:val="16"/>
                <w:szCs w:val="16"/>
              </w:rPr>
            </w:pPr>
            <w:r w:rsidDel="00000000" w:rsidR="00000000" w:rsidRPr="00000000">
              <w:rPr>
                <w:rFonts w:ascii="Century Gothic" w:cs="Century Gothic" w:eastAsia="Century Gothic" w:hAnsi="Century Gothic"/>
                <w:color w:val="11204c"/>
                <w:sz w:val="16"/>
                <w:szCs w:val="16"/>
                <w:rtl w:val="0"/>
              </w:rPr>
              <w:t xml:space="preserve">+52 (55) 4903 54341452 9158</w:t>
            </w:r>
          </w:p>
          <w:p w:rsidR="00000000" w:rsidDel="00000000" w:rsidP="00000000" w:rsidRDefault="00000000" w:rsidRPr="00000000" w14:paraId="00000036">
            <w:pPr>
              <w:spacing w:line="240" w:lineRule="auto"/>
              <w:rPr>
                <w:rFonts w:ascii="Century Gothic" w:cs="Century Gothic" w:eastAsia="Century Gothic" w:hAnsi="Century Gothic"/>
                <w:color w:val="11204c"/>
                <w:sz w:val="16"/>
                <w:szCs w:val="16"/>
              </w:rPr>
            </w:pPr>
            <w:hyperlink r:id="rId8">
              <w:r w:rsidDel="00000000" w:rsidR="00000000" w:rsidRPr="00000000">
                <w:rPr>
                  <w:rFonts w:ascii="Century Gothic" w:cs="Century Gothic" w:eastAsia="Century Gothic" w:hAnsi="Century Gothic"/>
                  <w:color w:val="1155cc"/>
                  <w:sz w:val="16"/>
                  <w:szCs w:val="16"/>
                  <w:u w:val="single"/>
                  <w:rtl w:val="0"/>
                </w:rPr>
                <w:t xml:space="preserve">emmanuel.zaragoza@another.co</w:t>
              </w:r>
            </w:hyperlink>
            <w:r w:rsidDel="00000000" w:rsidR="00000000" w:rsidRPr="00000000">
              <w:rPr>
                <w:rtl w:val="0"/>
              </w:rPr>
            </w:r>
          </w:p>
        </w:tc>
        <w:tc>
          <w:tcPr/>
          <w:p w:rsidR="00000000" w:rsidDel="00000000" w:rsidP="00000000" w:rsidRDefault="00000000" w:rsidRPr="00000000" w14:paraId="00000037">
            <w:pPr>
              <w:spacing w:line="240" w:lineRule="auto"/>
              <w:rPr>
                <w:rFonts w:ascii="Century Gothic" w:cs="Century Gothic" w:eastAsia="Century Gothic" w:hAnsi="Century Gothic"/>
                <w:color w:val="162056"/>
                <w:sz w:val="16"/>
                <w:szCs w:val="16"/>
              </w:rPr>
            </w:pPr>
            <w:r w:rsidDel="00000000" w:rsidR="00000000" w:rsidRPr="00000000">
              <w:rPr>
                <w:rtl w:val="0"/>
              </w:rPr>
            </w:r>
          </w:p>
          <w:p w:rsidR="00000000" w:rsidDel="00000000" w:rsidP="00000000" w:rsidRDefault="00000000" w:rsidRPr="00000000" w14:paraId="00000038">
            <w:pPr>
              <w:spacing w:line="240"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 </w:t>
            </w:r>
          </w:p>
          <w:p w:rsidR="00000000" w:rsidDel="00000000" w:rsidP="00000000" w:rsidRDefault="00000000" w:rsidRPr="00000000" w14:paraId="00000039">
            <w:pPr>
              <w:spacing w:line="240"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Ernesto Pacheco</w:t>
            </w:r>
          </w:p>
          <w:p w:rsidR="00000000" w:rsidDel="00000000" w:rsidP="00000000" w:rsidRDefault="00000000" w:rsidRPr="00000000" w14:paraId="0000003A">
            <w:pPr>
              <w:spacing w:line="240"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5213 5035</w:t>
            </w:r>
          </w:p>
          <w:p w:rsidR="00000000" w:rsidDel="00000000" w:rsidP="00000000" w:rsidRDefault="00000000" w:rsidRPr="00000000" w14:paraId="0000003B">
            <w:pPr>
              <w:spacing w:line="240" w:lineRule="auto"/>
              <w:rPr>
                <w:rFonts w:ascii="Century Gothic" w:cs="Century Gothic" w:eastAsia="Century Gothic" w:hAnsi="Century Gothic"/>
                <w:color w:val="162056"/>
                <w:sz w:val="16"/>
                <w:szCs w:val="16"/>
              </w:rPr>
            </w:pPr>
            <w:hyperlink r:id="rId9">
              <w:r w:rsidDel="00000000" w:rsidR="00000000" w:rsidRPr="00000000">
                <w:rPr>
                  <w:rFonts w:ascii="Century Gothic" w:cs="Century Gothic" w:eastAsia="Century Gothic" w:hAnsi="Century Gothic"/>
                  <w:color w:val="0563c1"/>
                  <w:sz w:val="16"/>
                  <w:szCs w:val="16"/>
                  <w:u w:val="single"/>
                  <w:rtl w:val="0"/>
                </w:rPr>
                <w:t xml:space="preserve">ernesto.pacheco@another.co</w:t>
              </w:r>
            </w:hyperlink>
            <w:r w:rsidDel="00000000" w:rsidR="00000000" w:rsidRPr="00000000">
              <w:rPr>
                <w:rtl w:val="0"/>
              </w:rPr>
            </w:r>
          </w:p>
        </w:tc>
      </w:tr>
    </w:tbl>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3E">
      <w:pPr>
        <w:spacing w:line="240" w:lineRule="auto"/>
        <w:jc w:val="both"/>
        <w:rPr>
          <w:rFonts w:ascii="Century Gothic" w:cs="Century Gothic" w:eastAsia="Century Gothic" w:hAnsi="Century Gothic"/>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ernesto.pacheco@another.co" TargetMode="External"/><Relationship Id="rId5" Type="http://schemas.openxmlformats.org/officeDocument/2006/relationships/styles" Target="styles.xml"/><Relationship Id="rId6" Type="http://schemas.openxmlformats.org/officeDocument/2006/relationships/hyperlink" Target="mailto:santiago.gomez@edenred.com" TargetMode="External"/><Relationship Id="rId7" Type="http://schemas.openxmlformats.org/officeDocument/2006/relationships/hyperlink" Target="mailto:victoria.balboa@edenred.com" TargetMode="External"/><Relationship Id="rId8" Type="http://schemas.openxmlformats.org/officeDocument/2006/relationships/hyperlink" Target="mailto:emmanuel.zaragoz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